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83" w:rsidRDefault="009E7655" w:rsidP="009E765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55">
        <w:rPr>
          <w:rFonts w:ascii="Times New Roman" w:hAnsi="Times New Roman" w:cs="Times New Roman"/>
          <w:b/>
          <w:sz w:val="28"/>
          <w:szCs w:val="28"/>
        </w:rPr>
        <w:t>PHỤ LỤC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12F" w:rsidRDefault="009E7655" w:rsidP="009E76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E7655">
        <w:rPr>
          <w:rFonts w:ascii="Times New Roman" w:hAnsi="Times New Roman" w:cs="Times New Roman"/>
          <w:i/>
          <w:sz w:val="28"/>
        </w:rPr>
        <w:t xml:space="preserve"> (Kèm theo công văn số      </w:t>
      </w:r>
      <w:r w:rsidR="007D712F">
        <w:rPr>
          <w:rFonts w:ascii="Times New Roman" w:hAnsi="Times New Roman" w:cs="Times New Roman"/>
          <w:i/>
          <w:sz w:val="28"/>
        </w:rPr>
        <w:t xml:space="preserve">  </w:t>
      </w:r>
      <w:r w:rsidR="00A15D80">
        <w:rPr>
          <w:rFonts w:ascii="Times New Roman" w:hAnsi="Times New Roman" w:cs="Times New Roman"/>
          <w:i/>
          <w:sz w:val="28"/>
        </w:rPr>
        <w:t xml:space="preserve">   </w:t>
      </w:r>
      <w:r w:rsidRPr="009E7655">
        <w:rPr>
          <w:rFonts w:ascii="Times New Roman" w:hAnsi="Times New Roman" w:cs="Times New Roman"/>
          <w:i/>
          <w:sz w:val="28"/>
        </w:rPr>
        <w:t xml:space="preserve"> /</w:t>
      </w:r>
      <w:r w:rsidR="00EC3531">
        <w:rPr>
          <w:rFonts w:ascii="Times New Roman" w:hAnsi="Times New Roman" w:cs="Times New Roman"/>
          <w:i/>
          <w:sz w:val="28"/>
        </w:rPr>
        <w:t>SKHCN-TTr</w:t>
      </w:r>
      <w:r w:rsidRPr="009E7655">
        <w:rPr>
          <w:rFonts w:ascii="Times New Roman" w:hAnsi="Times New Roman" w:cs="Times New Roman"/>
          <w:i/>
          <w:sz w:val="28"/>
        </w:rPr>
        <w:t xml:space="preserve"> ngày     /</w:t>
      </w:r>
      <w:r w:rsidR="00EC3531">
        <w:rPr>
          <w:rFonts w:ascii="Times New Roman" w:hAnsi="Times New Roman" w:cs="Times New Roman"/>
          <w:i/>
          <w:sz w:val="28"/>
        </w:rPr>
        <w:t>5</w:t>
      </w:r>
      <w:r w:rsidRPr="009E7655">
        <w:rPr>
          <w:rFonts w:ascii="Times New Roman" w:hAnsi="Times New Roman" w:cs="Times New Roman"/>
          <w:i/>
          <w:sz w:val="28"/>
        </w:rPr>
        <w:t>/202</w:t>
      </w:r>
      <w:r w:rsidR="00990FE4">
        <w:rPr>
          <w:rFonts w:ascii="Times New Roman" w:hAnsi="Times New Roman" w:cs="Times New Roman"/>
          <w:i/>
          <w:sz w:val="28"/>
        </w:rPr>
        <w:t>1</w:t>
      </w:r>
      <w:r w:rsidRPr="009E7655">
        <w:rPr>
          <w:rFonts w:ascii="Times New Roman" w:hAnsi="Times New Roman" w:cs="Times New Roman"/>
          <w:i/>
          <w:sz w:val="28"/>
        </w:rPr>
        <w:t xml:space="preserve"> </w:t>
      </w:r>
    </w:p>
    <w:p w:rsidR="009E7655" w:rsidRDefault="009E7655" w:rsidP="009E76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E7655">
        <w:rPr>
          <w:rFonts w:ascii="Times New Roman" w:hAnsi="Times New Roman" w:cs="Times New Roman"/>
          <w:i/>
          <w:sz w:val="28"/>
        </w:rPr>
        <w:t>của</w:t>
      </w:r>
      <w:r w:rsidR="007D712F">
        <w:rPr>
          <w:rFonts w:ascii="Times New Roman" w:hAnsi="Times New Roman" w:cs="Times New Roman"/>
          <w:i/>
          <w:sz w:val="28"/>
        </w:rPr>
        <w:t xml:space="preserve"> </w:t>
      </w:r>
      <w:r w:rsidR="00EC3531">
        <w:rPr>
          <w:rFonts w:ascii="Times New Roman" w:hAnsi="Times New Roman" w:cs="Times New Roman"/>
          <w:i/>
          <w:sz w:val="28"/>
        </w:rPr>
        <w:t>Sở Khoa học và Công nghệ</w:t>
      </w:r>
      <w:r w:rsidRPr="009E7655">
        <w:rPr>
          <w:rFonts w:ascii="Times New Roman" w:hAnsi="Times New Roman" w:cs="Times New Roman"/>
          <w:i/>
          <w:sz w:val="28"/>
        </w:rPr>
        <w:t xml:space="preserve"> Bà Rị</w:t>
      </w:r>
      <w:r>
        <w:rPr>
          <w:rFonts w:ascii="Times New Roman" w:hAnsi="Times New Roman" w:cs="Times New Roman"/>
          <w:i/>
          <w:sz w:val="28"/>
        </w:rPr>
        <w:t>a-Vũng Tàu)</w:t>
      </w:r>
    </w:p>
    <w:p w:rsidR="009E7655" w:rsidRDefault="009E7655" w:rsidP="000F28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</w:t>
      </w:r>
      <w:r w:rsidR="007D712F">
        <w:rPr>
          <w:rFonts w:ascii="Times New Roman" w:hAnsi="Times New Roman" w:cs="Times New Roman"/>
          <w:i/>
          <w:sz w:val="28"/>
        </w:rPr>
        <w:t>_____</w:t>
      </w:r>
    </w:p>
    <w:p w:rsidR="000F287C" w:rsidRPr="000F287C" w:rsidRDefault="000F287C" w:rsidP="000F28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9E7655" w:rsidRDefault="009E7655" w:rsidP="009256B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E7655">
        <w:rPr>
          <w:rFonts w:ascii="Times New Roman" w:hAnsi="Times New Roman" w:cs="Times New Roman"/>
          <w:b/>
          <w:sz w:val="28"/>
        </w:rPr>
        <w:t>I.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E7655">
        <w:rPr>
          <w:rFonts w:ascii="Times New Roman" w:hAnsi="Times New Roman" w:cs="Times New Roman"/>
          <w:b/>
          <w:sz w:val="28"/>
        </w:rPr>
        <w:t>Danh mục</w:t>
      </w:r>
      <w:r w:rsidR="00326ACD" w:rsidRPr="00326ACD">
        <w:rPr>
          <w:rFonts w:ascii="Times New Roman" w:hAnsi="Times New Roman" w:cs="Times New Roman"/>
          <w:b/>
          <w:sz w:val="28"/>
        </w:rPr>
        <w:t>, lộ</w:t>
      </w:r>
      <w:r w:rsidR="007D712F">
        <w:rPr>
          <w:rFonts w:ascii="Times New Roman" w:hAnsi="Times New Roman" w:cs="Times New Roman"/>
          <w:b/>
          <w:sz w:val="28"/>
        </w:rPr>
        <w:t xml:space="preserve"> trình dịch vụ công</w:t>
      </w:r>
      <w:r w:rsidR="00326ACD" w:rsidRPr="00326ACD">
        <w:rPr>
          <w:rFonts w:ascii="Times New Roman" w:hAnsi="Times New Roman" w:cs="Times New Roman"/>
          <w:b/>
          <w:sz w:val="28"/>
        </w:rPr>
        <w:t xml:space="preserve"> trực tuyến được tích hợp, cung cấp trên C</w:t>
      </w:r>
      <w:r w:rsidR="007D712F">
        <w:rPr>
          <w:rFonts w:ascii="Times New Roman" w:hAnsi="Times New Roman" w:cs="Times New Roman"/>
          <w:b/>
          <w:sz w:val="28"/>
        </w:rPr>
        <w:t xml:space="preserve">ổng Dịch vụ công </w:t>
      </w:r>
      <w:r w:rsidR="001B1F4C">
        <w:rPr>
          <w:rFonts w:ascii="Times New Roman" w:hAnsi="Times New Roman" w:cs="Times New Roman"/>
          <w:b/>
          <w:sz w:val="28"/>
        </w:rPr>
        <w:t>Q</w:t>
      </w:r>
      <w:r w:rsidR="00326ACD" w:rsidRPr="00326ACD">
        <w:rPr>
          <w:rFonts w:ascii="Times New Roman" w:hAnsi="Times New Roman" w:cs="Times New Roman"/>
          <w:b/>
          <w:sz w:val="28"/>
        </w:rPr>
        <w:t>uốc gia trong năm 202</w:t>
      </w:r>
      <w:r w:rsidR="00990FE4">
        <w:rPr>
          <w:rFonts w:ascii="Times New Roman" w:hAnsi="Times New Roman" w:cs="Times New Roman"/>
          <w:b/>
          <w:sz w:val="28"/>
        </w:rPr>
        <w:t>1</w:t>
      </w:r>
      <w:r w:rsidRPr="009E7655">
        <w:rPr>
          <w:rFonts w:ascii="Times New Roman" w:hAnsi="Times New Roman" w:cs="Times New Roman"/>
          <w:b/>
          <w:sz w:val="28"/>
        </w:rPr>
        <w:t xml:space="preserve"> </w:t>
      </w:r>
      <w:r w:rsidR="007D712F">
        <w:rPr>
          <w:rFonts w:ascii="Times New Roman" w:hAnsi="Times New Roman" w:cs="Times New Roman"/>
          <w:b/>
          <w:sz w:val="28"/>
        </w:rPr>
        <w:t>thuộc thẩm quyền giải quyết củ</w:t>
      </w:r>
      <w:r w:rsidR="009256B6">
        <w:rPr>
          <w:rFonts w:ascii="Times New Roman" w:hAnsi="Times New Roman" w:cs="Times New Roman"/>
          <w:b/>
          <w:sz w:val="28"/>
        </w:rPr>
        <w:t>a Sở Khoa học và Công nghệ</w:t>
      </w:r>
    </w:p>
    <w:p w:rsidR="009E7655" w:rsidRDefault="009E7655" w:rsidP="0045603A">
      <w:pPr>
        <w:spacing w:before="120" w:after="0" w:line="240" w:lineRule="auto"/>
        <w:rPr>
          <w:rFonts w:ascii="Times New Roman" w:hAnsi="Times New Roman" w:cs="Times New Roman"/>
          <w:i/>
          <w:sz w:val="28"/>
        </w:rPr>
      </w:pPr>
    </w:p>
    <w:tbl>
      <w:tblPr>
        <w:tblStyle w:val="TableGrid"/>
        <w:tblW w:w="10610" w:type="dxa"/>
        <w:tblInd w:w="-432" w:type="dxa"/>
        <w:tblLook w:val="04A0" w:firstRow="1" w:lastRow="0" w:firstColumn="1" w:lastColumn="0" w:noHBand="0" w:noVBand="1"/>
      </w:tblPr>
      <w:tblGrid>
        <w:gridCol w:w="746"/>
        <w:gridCol w:w="1804"/>
        <w:gridCol w:w="3009"/>
        <w:gridCol w:w="1082"/>
        <w:gridCol w:w="1134"/>
        <w:gridCol w:w="484"/>
        <w:gridCol w:w="423"/>
        <w:gridCol w:w="1928"/>
      </w:tblGrid>
      <w:tr w:rsidR="009256B6" w:rsidRPr="009256B6" w:rsidTr="003F6660">
        <w:tc>
          <w:tcPr>
            <w:tcW w:w="746" w:type="dxa"/>
            <w:vMerge w:val="restart"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04" w:type="dxa"/>
            <w:vMerge w:val="restart"/>
          </w:tcPr>
          <w:p w:rsidR="00990FE4" w:rsidRPr="009256B6" w:rsidRDefault="00990FE4" w:rsidP="007D71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TÊN DỊCH VỤ CÔNG /TTHC</w:t>
            </w:r>
          </w:p>
        </w:tc>
        <w:tc>
          <w:tcPr>
            <w:tcW w:w="3009" w:type="dxa"/>
            <w:vMerge w:val="restart"/>
          </w:tcPr>
          <w:p w:rsidR="00990FE4" w:rsidRPr="009256B6" w:rsidRDefault="00990FE4" w:rsidP="007D71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MÃ SỐ DỊCH VỤ CÔNG/TTHC</w:t>
            </w:r>
          </w:p>
        </w:tc>
        <w:tc>
          <w:tcPr>
            <w:tcW w:w="1082" w:type="dxa"/>
            <w:vMerge w:val="restart"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LĨNH VỰC</w:t>
            </w:r>
          </w:p>
        </w:tc>
        <w:tc>
          <w:tcPr>
            <w:tcW w:w="1134" w:type="dxa"/>
            <w:vMerge w:val="restart"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LỘ TRÌNH THỰC HIỆN</w:t>
            </w:r>
          </w:p>
          <w:p w:rsidR="00A15D80" w:rsidRPr="009256B6" w:rsidRDefault="00A15D80" w:rsidP="00A15D8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(Ví dụ: (Quý II, III, IV)</w:t>
            </w:r>
          </w:p>
        </w:tc>
        <w:tc>
          <w:tcPr>
            <w:tcW w:w="907" w:type="dxa"/>
            <w:gridSpan w:val="2"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MỨC ĐỘ DVC</w:t>
            </w:r>
          </w:p>
        </w:tc>
        <w:tc>
          <w:tcPr>
            <w:tcW w:w="1928" w:type="dxa"/>
            <w:vMerge w:val="restart"/>
          </w:tcPr>
          <w:p w:rsidR="00A15D80" w:rsidRPr="009256B6" w:rsidRDefault="009C1DD6" w:rsidP="00A15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DỊCH VỤ CÔNG</w:t>
            </w:r>
            <w:r w:rsidR="00990FE4"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/TTHC CÓ NGHĨA VỤ TÀI CHÍNH (PHÍ, LỆ PHÍ)</w:t>
            </w:r>
            <w:r w:rsidR="00A15D80"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0FE4" w:rsidRPr="009256B6" w:rsidRDefault="00A15D80" w:rsidP="00A15D80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(đánh dấu X nếu có)</w:t>
            </w:r>
          </w:p>
        </w:tc>
      </w:tr>
      <w:tr w:rsidR="009256B6" w:rsidRPr="009256B6" w:rsidTr="003F6660">
        <w:tc>
          <w:tcPr>
            <w:tcW w:w="746" w:type="dxa"/>
            <w:vMerge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  <w:vMerge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8" w:type="dxa"/>
            <w:vMerge/>
          </w:tcPr>
          <w:p w:rsidR="00990FE4" w:rsidRPr="009256B6" w:rsidRDefault="00990FE4" w:rsidP="009E76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45603A" w:rsidRPr="009256B6" w:rsidRDefault="0045603A" w:rsidP="004560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45603A" w:rsidRPr="009256B6" w:rsidRDefault="00365F45" w:rsidP="0045603A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5603A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Thủ tục công bố sử dụng dấu định lượng</w:t>
              </w:r>
            </w:hyperlink>
          </w:p>
        </w:tc>
        <w:tc>
          <w:tcPr>
            <w:tcW w:w="3009" w:type="dxa"/>
            <w:vAlign w:val="center"/>
          </w:tcPr>
          <w:p w:rsidR="0045603A" w:rsidRPr="009256B6" w:rsidRDefault="0045603A" w:rsidP="0045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2.000212.000.00.00.H06</w:t>
            </w:r>
          </w:p>
        </w:tc>
        <w:tc>
          <w:tcPr>
            <w:tcW w:w="1082" w:type="dxa"/>
            <w:vAlign w:val="center"/>
          </w:tcPr>
          <w:p w:rsidR="0045603A" w:rsidRPr="009256B6" w:rsidRDefault="0045603A" w:rsidP="0045603A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Tiêu chuẩn Đo lường Chất lượng</w:t>
            </w:r>
          </w:p>
        </w:tc>
        <w:tc>
          <w:tcPr>
            <w:tcW w:w="1134" w:type="dxa"/>
          </w:tcPr>
          <w:p w:rsidR="0045603A" w:rsidRPr="009256B6" w:rsidRDefault="009256B6" w:rsidP="004560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45603A" w:rsidRPr="009256B6" w:rsidRDefault="0045603A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45603A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45603A" w:rsidRPr="009256B6" w:rsidRDefault="0045603A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45603A" w:rsidRPr="009256B6" w:rsidRDefault="0045603A" w:rsidP="004560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vAlign w:val="center"/>
          </w:tcPr>
          <w:p w:rsidR="0045603A" w:rsidRPr="009256B6" w:rsidRDefault="00365F45" w:rsidP="0045603A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8" w:history="1">
              <w:r w:rsidR="0045603A" w:rsidRPr="009256B6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Thủ tục điều chỉnh nội dung bản công bố sử dụng dấu định lượng</w:t>
              </w:r>
            </w:hyperlink>
          </w:p>
        </w:tc>
        <w:tc>
          <w:tcPr>
            <w:tcW w:w="3009" w:type="dxa"/>
            <w:vAlign w:val="center"/>
          </w:tcPr>
          <w:p w:rsidR="0045603A" w:rsidRPr="009256B6" w:rsidRDefault="0045603A" w:rsidP="0045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1.000449.000.00.00H06</w:t>
            </w:r>
          </w:p>
        </w:tc>
        <w:tc>
          <w:tcPr>
            <w:tcW w:w="1082" w:type="dxa"/>
            <w:vAlign w:val="center"/>
          </w:tcPr>
          <w:p w:rsidR="0045603A" w:rsidRPr="009256B6" w:rsidRDefault="0045603A" w:rsidP="0045603A">
            <w:pPr>
              <w:keepNext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5603A" w:rsidRPr="009256B6" w:rsidRDefault="009256B6" w:rsidP="0045603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45603A" w:rsidRPr="009256B6" w:rsidRDefault="0045603A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45603A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45603A" w:rsidRPr="009256B6" w:rsidRDefault="0045603A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45603A" w:rsidRPr="009256B6" w:rsidRDefault="0045603A" w:rsidP="004560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 w:rsidR="0045603A" w:rsidRPr="009256B6" w:rsidRDefault="00365F45" w:rsidP="0045603A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5603A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Thủ tục đăng ký kiểm tra nhà nước về đo lường đối với phương tiện đo, lượng của hàng đóng gói sẵn nhập khẩu</w:t>
              </w:r>
            </w:hyperlink>
          </w:p>
        </w:tc>
        <w:tc>
          <w:tcPr>
            <w:tcW w:w="3009" w:type="dxa"/>
            <w:vAlign w:val="center"/>
          </w:tcPr>
          <w:p w:rsidR="0045603A" w:rsidRPr="009256B6" w:rsidRDefault="0045603A" w:rsidP="0045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1.000438.000.00.00H06</w:t>
            </w:r>
          </w:p>
        </w:tc>
        <w:tc>
          <w:tcPr>
            <w:tcW w:w="1082" w:type="dxa"/>
            <w:vAlign w:val="center"/>
          </w:tcPr>
          <w:p w:rsidR="0045603A" w:rsidRPr="009256B6" w:rsidRDefault="0045603A" w:rsidP="0045603A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03A" w:rsidRPr="009256B6" w:rsidRDefault="009256B6" w:rsidP="0045603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45603A" w:rsidRPr="009256B6" w:rsidRDefault="0045603A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45603A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45603A" w:rsidRPr="009256B6" w:rsidRDefault="0045603A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1064B7" w:rsidRPr="009256B6" w:rsidRDefault="001064B7" w:rsidP="001064B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064B7" w:rsidRPr="009256B6" w:rsidRDefault="00365F45" w:rsidP="001064B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64B7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Thủ tục kiểm tra chất lượng </w:t>
              </w:r>
              <w:r w:rsidR="001064B7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hàng hóa nhập khẩu thuộc trách nhiệm quản lý của Bộ Khoa học và Công nghệ</w:t>
              </w:r>
            </w:hyperlink>
          </w:p>
        </w:tc>
        <w:tc>
          <w:tcPr>
            <w:tcW w:w="3009" w:type="dxa"/>
            <w:vAlign w:val="center"/>
          </w:tcPr>
          <w:p w:rsidR="001064B7" w:rsidRPr="009256B6" w:rsidRDefault="001064B7" w:rsidP="00106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2.002118.000.00.00.H06</w:t>
            </w:r>
          </w:p>
        </w:tc>
        <w:tc>
          <w:tcPr>
            <w:tcW w:w="1082" w:type="dxa"/>
          </w:tcPr>
          <w:p w:rsidR="001064B7" w:rsidRPr="009256B6" w:rsidRDefault="001064B7" w:rsidP="001064B7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4B7" w:rsidRPr="009256B6" w:rsidRDefault="009256B6" w:rsidP="001064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1064B7" w:rsidRPr="009256B6" w:rsidRDefault="001064B7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1064B7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1064B7" w:rsidRPr="009256B6" w:rsidRDefault="001064B7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4" w:type="dxa"/>
            <w:vAlign w:val="center"/>
          </w:tcPr>
          <w:p w:rsidR="009256B6" w:rsidRPr="009256B6" w:rsidRDefault="00365F45" w:rsidP="009256B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hyperlink r:id="rId11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vi-VN"/>
                </w:rPr>
                <w:t>Thủ tục chỉ định tổ chức đánh giá sự phù hợp hoạt động thử nghiệm, giám định, kiểm định, chứng nhận</w:t>
              </w:r>
            </w:hyperlink>
            <w:r w:rsidR="009256B6" w:rsidRPr="009256B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2.002108.000.00.00.H06</w:t>
            </w:r>
          </w:p>
        </w:tc>
        <w:tc>
          <w:tcPr>
            <w:tcW w:w="1082" w:type="dxa"/>
            <w:vAlign w:val="center"/>
          </w:tcPr>
          <w:p w:rsidR="009256B6" w:rsidRPr="009256B6" w:rsidRDefault="009256B6" w:rsidP="009256B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12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nl-NL"/>
                </w:rPr>
                <w:t>Thủ tục thay đổi</w:t>
              </w:r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u w:val="none"/>
                  <w:lang w:val="pt-BR"/>
                </w:rPr>
                <w:t>, bổ sung phạm vi, lĩnh vực đánh giá sự phù hợp được chỉ định</w:t>
              </w:r>
            </w:hyperlink>
            <w:r w:rsidR="009256B6" w:rsidRPr="009256B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2.001100.000.00.00.H06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4" w:type="dxa"/>
            <w:vAlign w:val="center"/>
          </w:tcPr>
          <w:p w:rsidR="009256B6" w:rsidRPr="009256B6" w:rsidRDefault="00365F45" w:rsidP="009256B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hyperlink r:id="rId13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pacing w:val="-2"/>
                  <w:sz w:val="28"/>
                  <w:szCs w:val="28"/>
                  <w:u w:val="none"/>
                  <w:lang w:val="nl-NL"/>
                </w:rPr>
                <w:t xml:space="preserve">Thủ tục cấp lại Quyết định chỉ định tổ chức </w:t>
              </w:r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pacing w:val="-2"/>
                  <w:sz w:val="28"/>
                  <w:szCs w:val="28"/>
                  <w:u w:val="none"/>
                  <w:lang w:val="pt-BR"/>
                </w:rPr>
                <w:t>đánh giá sự phù hợp</w:t>
              </w:r>
            </w:hyperlink>
            <w:r w:rsidR="009256B6" w:rsidRPr="009256B6"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2.001501.000.00.00.H06</w:t>
            </w:r>
          </w:p>
        </w:tc>
        <w:tc>
          <w:tcPr>
            <w:tcW w:w="1082" w:type="dxa"/>
            <w:vAlign w:val="center"/>
          </w:tcPr>
          <w:p w:rsidR="009256B6" w:rsidRPr="009256B6" w:rsidRDefault="009256B6" w:rsidP="009256B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14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nl-NL"/>
                </w:rPr>
                <w:t>Thủ tục kiểm tra nhà nước về chất lượng sản phẩm, hàng hóa hàng hóa nhóm 2 nhập khẩu</w:t>
              </w:r>
            </w:hyperlink>
          </w:p>
        </w:tc>
        <w:tc>
          <w:tcPr>
            <w:tcW w:w="3009" w:type="dxa"/>
            <w:vAlign w:val="center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2.001259.000.00.00.H06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keepNext/>
              <w:widowControl w:val="0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Thủ tục cấp giấy chứng nhận tổ chức đủ điều kiện hoạt động </w:t>
              </w:r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giám định sở hữu công nghiệp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1.003542.000.00.00.H06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keepNext/>
              <w:widowControl w:val="0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Sở hữu trí tuệ</w:t>
            </w: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835E58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bookmarkStart w:id="0" w:name="_GoBack"/>
            <w:bookmarkEnd w:id="0"/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keepNext/>
              <w:widowControl w:val="0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Thủ tục cấp lại Giấy chứng nhận tổ chức đủ điều kiện hoạt động giám định sở hữu công nghiệp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2.001483.000.00.00.H06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keepNext/>
              <w:widowControl w:val="0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835E58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keepNext/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vi-VN"/>
                </w:rPr>
                <w:t xml:space="preserve">Thủ tục </w:t>
              </w:r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</w:t>
              </w:r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vi-VN"/>
                </w:rPr>
                <w:t>ia hạn giấy phép tiến hành công việc bức xạ</w:t>
              </w:r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(sử dụng thiết bị X-quang chẩn đoán trong y tế)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2.000086.000.00.00.H06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keepNext/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toàn bức xạ</w:t>
            </w: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835E58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Cấp lại Giấy chứng nhận đăng ký hoạt động của tổ chức khoa học và công nghệ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1.001770.000.00.00.H06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 và công nghệ</w:t>
            </w: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835E58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Thay đổi, bổ sung nội dung Giấy chứng nhận đăng ký hoạt động của tổ chức khoa học và công nghệ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1.001747.000.00.00.H06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835E58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Cấp lại Giấy chứng nhận hoạt động cho văn phòng đại diện, chi </w:t>
              </w:r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nhánh của tổ chức khoa học và công nghệ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1.001693.000.00.00.H06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835E58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Thay đổi, bổ sung nội dung Giấy chứng nhận hoạt động cho văn phòng đại diện, chi nhánh của tổ chức khoa học và công nghệ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1.001677.000.00.00.H06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835E58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keepNext/>
              <w:widowControl w:val="0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Thủ tục đặt và tặng giải thưởng  về khoa học và công nghệ của tổ chức, cá nhân cư trú hoặc hoạt động hợp pháp tại Việt Nam.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2.000058.000.00.00.H06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keepNext/>
              <w:widowControl w:val="0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4" w:type="dxa"/>
          </w:tcPr>
          <w:p w:rsidR="009256B6" w:rsidRPr="009256B6" w:rsidRDefault="00365F45" w:rsidP="009256B6">
            <w:pPr>
              <w:keepNext/>
              <w:widowControl w:val="0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256B6" w:rsidRPr="009256B6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  <w:lang w:val="vi-VN"/>
                </w:rPr>
                <w:t>Thủ tục cấp thay đổi nội dung, cấp lại Giấy chứng nhận doanh nghiệp khoa học và công nghệ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2.001525.000.00.00.H06</w:t>
            </w:r>
          </w:p>
        </w:tc>
        <w:tc>
          <w:tcPr>
            <w:tcW w:w="1082" w:type="dxa"/>
          </w:tcPr>
          <w:p w:rsidR="009256B6" w:rsidRPr="009256B6" w:rsidRDefault="009256B6" w:rsidP="009256B6">
            <w:pPr>
              <w:keepNext/>
              <w:widowControl w:val="0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4" w:type="dxa"/>
            <w:vAlign w:val="center"/>
          </w:tcPr>
          <w:p w:rsidR="009256B6" w:rsidRPr="009256B6" w:rsidRDefault="00365F45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Thủ tục công nhận kết quả nghiên cứu khoa học và phát triển công nghệ do </w:t>
              </w:r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tổ chức, cá nhân tự đầu tư nghiên cứu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1.002935.000.00.00.H06</w:t>
            </w:r>
          </w:p>
        </w:tc>
        <w:tc>
          <w:tcPr>
            <w:tcW w:w="1082" w:type="dxa"/>
            <w:vAlign w:val="center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04" w:type="dxa"/>
            <w:vAlign w:val="center"/>
          </w:tcPr>
          <w:p w:rsidR="009256B6" w:rsidRPr="009256B6" w:rsidRDefault="00365F45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25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vi-VN"/>
                </w:rPr>
                <w:t>Thủ tục hỗ trợ kinh phí, mua kết quả nghiên cứu khoa học và phát triển công nghệ do tổ chức, cá nhân tự đầu tư nghiên cứu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2.001164.000.00.00.H06</w:t>
            </w:r>
          </w:p>
        </w:tc>
        <w:tc>
          <w:tcPr>
            <w:tcW w:w="1082" w:type="dxa"/>
            <w:vAlign w:val="center"/>
          </w:tcPr>
          <w:p w:rsidR="009256B6" w:rsidRPr="009256B6" w:rsidRDefault="009256B6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6B6" w:rsidRPr="009256B6" w:rsidTr="00835E58">
        <w:tc>
          <w:tcPr>
            <w:tcW w:w="746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4" w:type="dxa"/>
            <w:vAlign w:val="center"/>
          </w:tcPr>
          <w:p w:rsidR="009256B6" w:rsidRPr="009256B6" w:rsidRDefault="00365F45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26" w:history="1">
              <w:r w:rsidR="009256B6" w:rsidRPr="009256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vi-VN"/>
                </w:rPr>
                <w:t>Thủ tục mua sáng chế, sáng kiến</w:t>
              </w:r>
            </w:hyperlink>
          </w:p>
        </w:tc>
        <w:tc>
          <w:tcPr>
            <w:tcW w:w="3009" w:type="dxa"/>
          </w:tcPr>
          <w:p w:rsidR="009256B6" w:rsidRPr="009256B6" w:rsidRDefault="009256B6" w:rsidP="0092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B6">
              <w:rPr>
                <w:rFonts w:ascii="Times New Roman" w:hAnsi="Times New Roman" w:cs="Times New Roman"/>
                <w:sz w:val="28"/>
                <w:szCs w:val="28"/>
              </w:rPr>
              <w:t>2.001148.000.00.00.H06</w:t>
            </w:r>
          </w:p>
        </w:tc>
        <w:tc>
          <w:tcPr>
            <w:tcW w:w="1082" w:type="dxa"/>
            <w:vAlign w:val="center"/>
          </w:tcPr>
          <w:p w:rsidR="009256B6" w:rsidRPr="009256B6" w:rsidRDefault="009256B6" w:rsidP="00925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</w:tcPr>
          <w:p w:rsidR="009256B6" w:rsidRPr="009256B6" w:rsidRDefault="009256B6" w:rsidP="009256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484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9256B6" w:rsidRPr="003F6660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28" w:type="dxa"/>
            <w:vAlign w:val="center"/>
          </w:tcPr>
          <w:p w:rsidR="009256B6" w:rsidRPr="009256B6" w:rsidRDefault="009256B6" w:rsidP="00835E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FE4" w:rsidRDefault="00990FE4" w:rsidP="00990FE4">
      <w:pPr>
        <w:rPr>
          <w:rFonts w:ascii="Times New Roman" w:hAnsi="Times New Roman" w:cs="Times New Roman"/>
          <w:i/>
          <w:sz w:val="28"/>
        </w:rPr>
      </w:pPr>
    </w:p>
    <w:p w:rsidR="009E7655" w:rsidRPr="00C056B6" w:rsidRDefault="009E7655" w:rsidP="009E765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655" w:rsidRPr="00C056B6" w:rsidSect="009256B6">
      <w:footerReference w:type="default" r:id="rId27"/>
      <w:pgSz w:w="12240" w:h="15840"/>
      <w:pgMar w:top="81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45" w:rsidRDefault="00365F45" w:rsidP="00EF7A0D">
      <w:pPr>
        <w:spacing w:after="0" w:line="240" w:lineRule="auto"/>
      </w:pPr>
      <w:r>
        <w:separator/>
      </w:r>
    </w:p>
  </w:endnote>
  <w:endnote w:type="continuationSeparator" w:id="0">
    <w:p w:rsidR="00365F45" w:rsidRDefault="00365F45" w:rsidP="00EF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1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A0D" w:rsidRDefault="00EF7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A0D" w:rsidRDefault="00EF7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45" w:rsidRDefault="00365F45" w:rsidP="00EF7A0D">
      <w:pPr>
        <w:spacing w:after="0" w:line="240" w:lineRule="auto"/>
      </w:pPr>
      <w:r>
        <w:separator/>
      </w:r>
    </w:p>
  </w:footnote>
  <w:footnote w:type="continuationSeparator" w:id="0">
    <w:p w:rsidR="00365F45" w:rsidRDefault="00365F45" w:rsidP="00EF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DA7"/>
    <w:multiLevelType w:val="hybridMultilevel"/>
    <w:tmpl w:val="D742AD82"/>
    <w:lvl w:ilvl="0" w:tplc="ECB2F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55"/>
    <w:rsid w:val="000F287C"/>
    <w:rsid w:val="001064B7"/>
    <w:rsid w:val="00145D1F"/>
    <w:rsid w:val="001B1F4C"/>
    <w:rsid w:val="00326ACD"/>
    <w:rsid w:val="00365F45"/>
    <w:rsid w:val="003F6660"/>
    <w:rsid w:val="0045603A"/>
    <w:rsid w:val="006F360C"/>
    <w:rsid w:val="007D712F"/>
    <w:rsid w:val="00835E58"/>
    <w:rsid w:val="00847F2B"/>
    <w:rsid w:val="00904BE6"/>
    <w:rsid w:val="009256B6"/>
    <w:rsid w:val="00990FE4"/>
    <w:rsid w:val="009C188F"/>
    <w:rsid w:val="009C1DD6"/>
    <w:rsid w:val="009E7655"/>
    <w:rsid w:val="00A15D80"/>
    <w:rsid w:val="00A803B8"/>
    <w:rsid w:val="00B37983"/>
    <w:rsid w:val="00C056B6"/>
    <w:rsid w:val="00CE72F5"/>
    <w:rsid w:val="00EC3531"/>
    <w:rsid w:val="00E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FC8B"/>
  <w15:docId w15:val="{2DC34FA1-AA46-45D6-9FFF-C0934346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7655"/>
    <w:pPr>
      <w:ind w:left="720"/>
      <w:contextualSpacing/>
    </w:pPr>
  </w:style>
  <w:style w:type="character" w:styleId="Hyperlink">
    <w:name w:val="Hyperlink"/>
    <w:basedOn w:val="DefaultParagraphFont"/>
    <w:unhideWhenUsed/>
    <w:rsid w:val="00C056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D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0D"/>
  </w:style>
  <w:style w:type="paragraph" w:styleId="Footer">
    <w:name w:val="footer"/>
    <w:basedOn w:val="Normal"/>
    <w:link w:val="FooterChar"/>
    <w:uiPriority w:val="99"/>
    <w:unhideWhenUsed/>
    <w:rsid w:val="00EF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%2002.docx" TargetMode="External"/><Relationship Id="rId13" Type="http://schemas.openxmlformats.org/officeDocument/2006/relationships/hyperlink" Target="../7.%20Danh%20muc%2061%20TTHC%202020/TT%2014.docx" TargetMode="External"/><Relationship Id="rId18" Type="http://schemas.openxmlformats.org/officeDocument/2006/relationships/hyperlink" Target="../7.%20Danh%20muc%2061%20TTHC%202020/TT%2038.doc" TargetMode="External"/><Relationship Id="rId26" Type="http://schemas.openxmlformats.org/officeDocument/2006/relationships/hyperlink" Target="../7.%20Danh%20muc%2061%20TTHC%202020/TT%2050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7.%20Danh%20muc%2061%20TTHC%202020/TT%2042.doc" TargetMode="External"/><Relationship Id="rId7" Type="http://schemas.openxmlformats.org/officeDocument/2006/relationships/hyperlink" Target="TT%2001.docx" TargetMode="External"/><Relationship Id="rId12" Type="http://schemas.openxmlformats.org/officeDocument/2006/relationships/hyperlink" Target="../7.%20Danh%20muc%2061%20TTHC%202020/TT%2013.docx" TargetMode="External"/><Relationship Id="rId17" Type="http://schemas.openxmlformats.org/officeDocument/2006/relationships/hyperlink" Target="../7.%20Danh%20muc%2061%20TTHC%202020/TT%2023.doc" TargetMode="External"/><Relationship Id="rId25" Type="http://schemas.openxmlformats.org/officeDocument/2006/relationships/hyperlink" Target="../7.%20Danh%20muc%2061%20TTHC%202020/TT%2049.doc" TargetMode="External"/><Relationship Id="rId2" Type="http://schemas.openxmlformats.org/officeDocument/2006/relationships/styles" Target="styles.xml"/><Relationship Id="rId16" Type="http://schemas.openxmlformats.org/officeDocument/2006/relationships/hyperlink" Target="../7.%20Danh%20muc%2061%20TTHC%202020/TT%2020.doc" TargetMode="External"/><Relationship Id="rId20" Type="http://schemas.openxmlformats.org/officeDocument/2006/relationships/hyperlink" Target="../7.%20Danh%20muc%2061%20TTHC%202020/TT%2041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7.%20Danh%20muc%2061%20TTHC%202020/TT%2012.docx" TargetMode="External"/><Relationship Id="rId24" Type="http://schemas.openxmlformats.org/officeDocument/2006/relationships/hyperlink" Target="../7.%20Danh%20muc%2061%20TTHC%202020/TT%204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7.%20Danh%20muc%2061%20TTHC%202020/TT%2019.doc" TargetMode="External"/><Relationship Id="rId23" Type="http://schemas.openxmlformats.org/officeDocument/2006/relationships/hyperlink" Target="../7.%20Danh%20muc%2061%20TTHC%202020/TT%2047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../7.%20Danh%20muc%2061%20TTHC%202020/TT%2008.doc" TargetMode="External"/><Relationship Id="rId19" Type="http://schemas.openxmlformats.org/officeDocument/2006/relationships/hyperlink" Target="../7.%20Danh%20muc%2061%20TTHC%202020/TT%203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7.%20Danh%20muc%2061%20TTHC%202020/TT%2003.doc" TargetMode="External"/><Relationship Id="rId14" Type="http://schemas.openxmlformats.org/officeDocument/2006/relationships/hyperlink" Target="../7.%20Danh%20muc%2061%20TTHC%202020/TT%2016.docx" TargetMode="External"/><Relationship Id="rId22" Type="http://schemas.openxmlformats.org/officeDocument/2006/relationships/hyperlink" Target="../7.%20Danh%20muc%2061%20TTHC%202020/TT%2043.doc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2021-04-15T01:42:00Z</cp:lastPrinted>
  <dcterms:created xsi:type="dcterms:W3CDTF">2021-03-23T08:36:00Z</dcterms:created>
  <dcterms:modified xsi:type="dcterms:W3CDTF">2021-05-17T06:44:00Z</dcterms:modified>
</cp:coreProperties>
</file>